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1517D" w14:textId="77777777" w:rsidR="007F60DD" w:rsidRPr="007F60DD" w:rsidRDefault="007F60DD" w:rsidP="007F60DD">
      <w:r w:rsidRPr="007F60DD">
        <w:rPr>
          <w:b/>
          <w:bCs/>
        </w:rPr>
        <w:t>Overview: Analysis-Ready FHM Dataset</w:t>
      </w:r>
    </w:p>
    <w:p w14:paraId="658FE2C7" w14:textId="210BC561" w:rsidR="007F60DD" w:rsidRPr="007F60DD" w:rsidRDefault="007F60DD" w:rsidP="007F60DD">
      <w:r w:rsidRPr="007F60DD">
        <w:rPr>
          <w:b/>
          <w:bCs/>
        </w:rPr>
        <w:t>Title:</w:t>
      </w:r>
      <w:r w:rsidRPr="007F60DD">
        <w:t xml:space="preserve"> FHM Data Filtering and Combination for Analysis</w:t>
      </w:r>
      <w:r w:rsidRPr="007F60DD">
        <w:br/>
      </w:r>
      <w:r w:rsidRPr="007F60DD">
        <w:rPr>
          <w:b/>
          <w:bCs/>
        </w:rPr>
        <w:t>Author:</w:t>
      </w:r>
      <w:r w:rsidRPr="007F60DD">
        <w:t xml:space="preserve"> Soren Donisvitch</w:t>
      </w:r>
      <w:r w:rsidRPr="007F60DD">
        <w:br/>
      </w:r>
      <w:r w:rsidRPr="007F60DD">
        <w:rPr>
          <w:b/>
          <w:bCs/>
        </w:rPr>
        <w:t>Date:</w:t>
      </w:r>
      <w:r w:rsidRPr="007F60DD">
        <w:t xml:space="preserve"> 07/06/2023</w:t>
      </w:r>
    </w:p>
    <w:p w14:paraId="5BFBD93D" w14:textId="77777777" w:rsidR="007F60DD" w:rsidRPr="007F60DD" w:rsidRDefault="007F60DD" w:rsidP="007F60DD">
      <w:pPr>
        <w:rPr>
          <w:b/>
          <w:bCs/>
        </w:rPr>
      </w:pPr>
      <w:r w:rsidRPr="007F60DD">
        <w:rPr>
          <w:b/>
          <w:bCs/>
        </w:rPr>
        <w:t>Purpose</w:t>
      </w:r>
    </w:p>
    <w:p w14:paraId="67C9D70B" w14:textId="77777777" w:rsidR="007F60DD" w:rsidRPr="007F60DD" w:rsidRDefault="007F60DD" w:rsidP="007F60DD">
      <w:r w:rsidRPr="007F60DD">
        <w:t>The Forest Health Monitoring (FHM) dataset has been prepared to provide an analysis-ready version of tree, sapling, and seedling data. This dataset normalizes different plot structures, making comparisons and statistical analyses feasible across multiple years and locations. The processed data ensures that variations in sampling methods do not bias the analysis of tree regeneration, growth, and mortality trends.</w:t>
      </w:r>
    </w:p>
    <w:p w14:paraId="454BB1B0" w14:textId="77777777" w:rsidR="007F60DD" w:rsidRPr="007F60DD" w:rsidRDefault="007F60DD" w:rsidP="007F60DD">
      <w:pPr>
        <w:rPr>
          <w:b/>
          <w:bCs/>
        </w:rPr>
      </w:pPr>
      <w:r w:rsidRPr="007F60DD">
        <w:rPr>
          <w:b/>
          <w:bCs/>
        </w:rPr>
        <w:t>Data Integration and Normalization</w:t>
      </w:r>
    </w:p>
    <w:p w14:paraId="03EC8DF9" w14:textId="77777777" w:rsidR="007F60DD" w:rsidRPr="007F60DD" w:rsidRDefault="007F60DD" w:rsidP="007F60DD">
      <w:r w:rsidRPr="007F60DD">
        <w:t>The FHM dataset is derived from multiple sources and database structures:</w:t>
      </w:r>
    </w:p>
    <w:p w14:paraId="250F458D" w14:textId="44728739" w:rsidR="007F60DD" w:rsidRPr="007F60DD" w:rsidRDefault="007F60DD" w:rsidP="007F60DD">
      <w:pPr>
        <w:numPr>
          <w:ilvl w:val="0"/>
          <w:numId w:val="1"/>
        </w:numPr>
      </w:pPr>
      <w:proofErr w:type="spellStart"/>
      <w:r w:rsidRPr="007F60DD">
        <w:rPr>
          <w:b/>
          <w:bCs/>
        </w:rPr>
        <w:t>VMC_fhm</w:t>
      </w:r>
      <w:proofErr w:type="spellEnd"/>
      <w:r w:rsidRPr="007F60DD">
        <w:rPr>
          <w:b/>
          <w:bCs/>
        </w:rPr>
        <w:t xml:space="preserve"> (</w:t>
      </w:r>
      <w:r>
        <w:rPr>
          <w:b/>
          <w:bCs/>
        </w:rPr>
        <w:t xml:space="preserve">Fia cluster style </w:t>
      </w:r>
      <w:r w:rsidRPr="007F60DD">
        <w:rPr>
          <w:b/>
          <w:bCs/>
        </w:rPr>
        <w:t>plots)</w:t>
      </w:r>
    </w:p>
    <w:p w14:paraId="55EBFF9F" w14:textId="45AECB99" w:rsidR="007F60DD" w:rsidRPr="007F60DD" w:rsidRDefault="007F60DD" w:rsidP="007F60DD">
      <w:pPr>
        <w:numPr>
          <w:ilvl w:val="0"/>
          <w:numId w:val="1"/>
        </w:numPr>
      </w:pPr>
      <w:proofErr w:type="spellStart"/>
      <w:r w:rsidRPr="007F60DD">
        <w:rPr>
          <w:b/>
          <w:bCs/>
        </w:rPr>
        <w:t>VMC_fhmma</w:t>
      </w:r>
      <w:proofErr w:type="spellEnd"/>
      <w:r w:rsidRPr="007F60DD">
        <w:rPr>
          <w:b/>
          <w:bCs/>
        </w:rPr>
        <w:t xml:space="preserve"> (</w:t>
      </w:r>
      <w:r>
        <w:rPr>
          <w:b/>
          <w:bCs/>
        </w:rPr>
        <w:t xml:space="preserve">Nested style </w:t>
      </w:r>
      <w:r w:rsidRPr="007F60DD">
        <w:rPr>
          <w:b/>
          <w:bCs/>
        </w:rPr>
        <w:t>plots)</w:t>
      </w:r>
    </w:p>
    <w:p w14:paraId="59BA68F4" w14:textId="77777777" w:rsidR="007F60DD" w:rsidRPr="007F60DD" w:rsidRDefault="007F60DD" w:rsidP="007F60DD">
      <w:r w:rsidRPr="007F60DD">
        <w:t>To achieve a standardized dataset, the script harmonizes data structures, applies species translations, normalizes DBH (diameter at breast height) and height measures, and calculates biomass, basal area, and density expansion factors.</w:t>
      </w:r>
    </w:p>
    <w:p w14:paraId="5F592B96" w14:textId="77777777" w:rsidR="007F60DD" w:rsidRPr="007F60DD" w:rsidRDefault="007F60DD" w:rsidP="007F60DD">
      <w:pPr>
        <w:rPr>
          <w:b/>
          <w:bCs/>
        </w:rPr>
      </w:pPr>
      <w:r w:rsidRPr="007F60DD">
        <w:rPr>
          <w:b/>
          <w:bCs/>
        </w:rPr>
        <w:t>Key Processing Steps</w:t>
      </w:r>
    </w:p>
    <w:p w14:paraId="7AE9F640" w14:textId="77777777" w:rsidR="007F60DD" w:rsidRPr="007F60DD" w:rsidRDefault="007F60DD" w:rsidP="007F60DD">
      <w:pPr>
        <w:numPr>
          <w:ilvl w:val="0"/>
          <w:numId w:val="2"/>
        </w:numPr>
      </w:pPr>
      <w:r w:rsidRPr="007F60DD">
        <w:rPr>
          <w:b/>
          <w:bCs/>
        </w:rPr>
        <w:t>Species Standardization:</w:t>
      </w:r>
    </w:p>
    <w:p w14:paraId="7C98F081" w14:textId="77777777" w:rsidR="007F60DD" w:rsidRPr="007F60DD" w:rsidRDefault="007F60DD" w:rsidP="007F60DD">
      <w:pPr>
        <w:numPr>
          <w:ilvl w:val="1"/>
          <w:numId w:val="2"/>
        </w:numPr>
      </w:pPr>
      <w:r w:rsidRPr="007F60DD">
        <w:t>Translates species codes into Latin and common names.</w:t>
      </w:r>
    </w:p>
    <w:p w14:paraId="124F7D6D" w14:textId="77777777" w:rsidR="007F60DD" w:rsidRPr="007F60DD" w:rsidRDefault="007F60DD" w:rsidP="007F60DD">
      <w:pPr>
        <w:numPr>
          <w:ilvl w:val="1"/>
          <w:numId w:val="2"/>
        </w:numPr>
      </w:pPr>
      <w:r w:rsidRPr="007F60DD">
        <w:t>Focuses on key species relevant to forest health monitoring.</w:t>
      </w:r>
    </w:p>
    <w:p w14:paraId="0E8B7C1E" w14:textId="77777777" w:rsidR="007F60DD" w:rsidRPr="007F60DD" w:rsidRDefault="007F60DD" w:rsidP="007F60DD">
      <w:pPr>
        <w:numPr>
          <w:ilvl w:val="0"/>
          <w:numId w:val="2"/>
        </w:numPr>
      </w:pPr>
      <w:r w:rsidRPr="007F60DD">
        <w:rPr>
          <w:b/>
          <w:bCs/>
        </w:rPr>
        <w:t>Biomass and Basal Area Calculations:</w:t>
      </w:r>
    </w:p>
    <w:p w14:paraId="1825433F" w14:textId="77777777" w:rsidR="007F60DD" w:rsidRPr="007F60DD" w:rsidRDefault="007F60DD" w:rsidP="007F60DD">
      <w:pPr>
        <w:numPr>
          <w:ilvl w:val="1"/>
          <w:numId w:val="2"/>
        </w:numPr>
      </w:pPr>
      <w:r w:rsidRPr="007F60DD">
        <w:t>Uses allometric models to compute aboveground biomass.</w:t>
      </w:r>
    </w:p>
    <w:p w14:paraId="68919223" w14:textId="1088E98F" w:rsidR="007F60DD" w:rsidRPr="007F60DD" w:rsidRDefault="007F60DD" w:rsidP="007F60DD">
      <w:pPr>
        <w:numPr>
          <w:ilvl w:val="1"/>
          <w:numId w:val="2"/>
        </w:numPr>
      </w:pPr>
      <w:proofErr w:type="gramStart"/>
      <w:r w:rsidRPr="007F60DD">
        <w:t>Computes</w:t>
      </w:r>
      <w:proofErr w:type="gramEnd"/>
      <w:r w:rsidRPr="007F60DD">
        <w:t xml:space="preserve"> basal area per hectare (BA_MPH) and per acre (BA_</w:t>
      </w:r>
      <w:r>
        <w:t>F</w:t>
      </w:r>
      <w:r w:rsidRPr="007F60DD">
        <w:t>PA).</w:t>
      </w:r>
    </w:p>
    <w:p w14:paraId="33A04925" w14:textId="77777777" w:rsidR="007F60DD" w:rsidRPr="007F60DD" w:rsidRDefault="007F60DD" w:rsidP="007F60DD">
      <w:pPr>
        <w:numPr>
          <w:ilvl w:val="0"/>
          <w:numId w:val="2"/>
        </w:numPr>
      </w:pPr>
      <w:r w:rsidRPr="007F60DD">
        <w:rPr>
          <w:b/>
          <w:bCs/>
        </w:rPr>
        <w:t>Density Normalization:</w:t>
      </w:r>
    </w:p>
    <w:p w14:paraId="2722D0A8" w14:textId="77777777" w:rsidR="007F60DD" w:rsidRPr="007F60DD" w:rsidRDefault="007F60DD" w:rsidP="007F60DD">
      <w:pPr>
        <w:numPr>
          <w:ilvl w:val="1"/>
          <w:numId w:val="2"/>
        </w:numPr>
      </w:pPr>
      <w:r w:rsidRPr="007F60DD">
        <w:t>Uses distinct expansion factors for trees, saplings, and seedlings per hectare and per acre.</w:t>
      </w:r>
    </w:p>
    <w:p w14:paraId="7DAB8A0E" w14:textId="77777777" w:rsidR="007F60DD" w:rsidRPr="007F60DD" w:rsidRDefault="007F60DD" w:rsidP="007F60DD">
      <w:pPr>
        <w:numPr>
          <w:ilvl w:val="1"/>
          <w:numId w:val="2"/>
        </w:numPr>
      </w:pPr>
      <w:r w:rsidRPr="007F60DD">
        <w:t>Adjusts for variations in plot type (Cluster vs. Nested plots).</w:t>
      </w:r>
    </w:p>
    <w:p w14:paraId="38DC30CD" w14:textId="77777777" w:rsidR="007F60DD" w:rsidRPr="007F60DD" w:rsidRDefault="007F60DD" w:rsidP="007F60DD">
      <w:pPr>
        <w:numPr>
          <w:ilvl w:val="0"/>
          <w:numId w:val="2"/>
        </w:numPr>
      </w:pPr>
      <w:r w:rsidRPr="007F60DD">
        <w:rPr>
          <w:b/>
          <w:bCs/>
        </w:rPr>
        <w:t>Tree, Sapling, and Seedling Data Unification:</w:t>
      </w:r>
    </w:p>
    <w:p w14:paraId="7248E9BC" w14:textId="77777777" w:rsidR="007F60DD" w:rsidRPr="007F60DD" w:rsidRDefault="007F60DD" w:rsidP="007F60DD">
      <w:pPr>
        <w:numPr>
          <w:ilvl w:val="1"/>
          <w:numId w:val="2"/>
        </w:numPr>
      </w:pPr>
      <w:r w:rsidRPr="007F60DD">
        <w:t>Merges Vermont and Massachusetts datasets into unified tables.</w:t>
      </w:r>
    </w:p>
    <w:p w14:paraId="723BB327" w14:textId="77777777" w:rsidR="007F60DD" w:rsidRPr="007F60DD" w:rsidRDefault="007F60DD" w:rsidP="007F60DD">
      <w:pPr>
        <w:numPr>
          <w:ilvl w:val="1"/>
          <w:numId w:val="2"/>
        </w:numPr>
      </w:pPr>
      <w:r w:rsidRPr="007F60DD">
        <w:t>Standardizes tree vigor codes pre- and post-2013.</w:t>
      </w:r>
    </w:p>
    <w:p w14:paraId="7754C1B2" w14:textId="77777777" w:rsidR="007F60DD" w:rsidRPr="007F60DD" w:rsidRDefault="007F60DD" w:rsidP="007F60DD">
      <w:pPr>
        <w:numPr>
          <w:ilvl w:val="1"/>
          <w:numId w:val="2"/>
        </w:numPr>
      </w:pPr>
      <w:proofErr w:type="gramStart"/>
      <w:r w:rsidRPr="007F60DD">
        <w:t>Ensures</w:t>
      </w:r>
      <w:proofErr w:type="gramEnd"/>
      <w:r w:rsidRPr="007F60DD">
        <w:t xml:space="preserve"> consistent DBH and height measurement columns.</w:t>
      </w:r>
    </w:p>
    <w:p w14:paraId="66A3783A" w14:textId="77777777" w:rsidR="007F60DD" w:rsidRPr="007F60DD" w:rsidRDefault="007F60DD" w:rsidP="007F60DD">
      <w:pPr>
        <w:rPr>
          <w:b/>
          <w:bCs/>
        </w:rPr>
      </w:pPr>
      <w:r w:rsidRPr="007F60DD">
        <w:rPr>
          <w:b/>
          <w:bCs/>
        </w:rPr>
        <w:lastRenderedPageBreak/>
        <w:t>Final Outputs</w:t>
      </w:r>
    </w:p>
    <w:p w14:paraId="28482C94" w14:textId="77777777" w:rsidR="007F60DD" w:rsidRPr="007F60DD" w:rsidRDefault="007F60DD" w:rsidP="007F60DD">
      <w:r w:rsidRPr="007F60DD">
        <w:t xml:space="preserve">The following </w:t>
      </w:r>
      <w:proofErr w:type="gramStart"/>
      <w:r w:rsidRPr="007F60DD">
        <w:t>cleaned</w:t>
      </w:r>
      <w:proofErr w:type="gramEnd"/>
      <w:r w:rsidRPr="007F60DD">
        <w:t xml:space="preserve"> and standardized datasets are exported as CSV files:</w:t>
      </w:r>
    </w:p>
    <w:p w14:paraId="73E2E5A1" w14:textId="77777777" w:rsidR="007F60DD" w:rsidRPr="007F60DD" w:rsidRDefault="007F60DD" w:rsidP="007F60DD">
      <w:pPr>
        <w:numPr>
          <w:ilvl w:val="0"/>
          <w:numId w:val="3"/>
        </w:numPr>
      </w:pPr>
      <w:r w:rsidRPr="007F60DD">
        <w:rPr>
          <w:b/>
          <w:bCs/>
        </w:rPr>
        <w:t>FEMC_FHM_TREES.csv</w:t>
      </w:r>
      <w:r w:rsidRPr="007F60DD">
        <w:t xml:space="preserve"> – Normalized tree data with biomass, basal area, and density attributes.</w:t>
      </w:r>
    </w:p>
    <w:p w14:paraId="629056B6" w14:textId="77777777" w:rsidR="007F60DD" w:rsidRPr="007F60DD" w:rsidRDefault="007F60DD" w:rsidP="007F60DD">
      <w:pPr>
        <w:numPr>
          <w:ilvl w:val="0"/>
          <w:numId w:val="3"/>
        </w:numPr>
      </w:pPr>
      <w:r w:rsidRPr="007F60DD">
        <w:rPr>
          <w:b/>
          <w:bCs/>
        </w:rPr>
        <w:t>FEMC_FHM_SAPLINGS.csv</w:t>
      </w:r>
      <w:r w:rsidRPr="007F60DD">
        <w:t xml:space="preserve"> – Processed sapling data with comparable density metrics.</w:t>
      </w:r>
    </w:p>
    <w:p w14:paraId="565B5C75" w14:textId="77777777" w:rsidR="007F60DD" w:rsidRPr="007F60DD" w:rsidRDefault="007F60DD" w:rsidP="007F60DD">
      <w:pPr>
        <w:numPr>
          <w:ilvl w:val="0"/>
          <w:numId w:val="3"/>
        </w:numPr>
      </w:pPr>
      <w:r w:rsidRPr="007F60DD">
        <w:rPr>
          <w:b/>
          <w:bCs/>
        </w:rPr>
        <w:t>FEMC_FHM_SEEDLINGS.csv</w:t>
      </w:r>
      <w:r w:rsidRPr="007F60DD">
        <w:t xml:space="preserve"> – Seedling-level data with uniform expansion factors.</w:t>
      </w:r>
    </w:p>
    <w:p w14:paraId="12563555" w14:textId="77777777" w:rsidR="007F60DD" w:rsidRPr="007F60DD" w:rsidRDefault="007F60DD" w:rsidP="007F60DD">
      <w:pPr>
        <w:rPr>
          <w:b/>
          <w:bCs/>
        </w:rPr>
      </w:pPr>
      <w:r w:rsidRPr="007F60DD">
        <w:rPr>
          <w:b/>
          <w:bCs/>
        </w:rPr>
        <w:t>Conclusion</w:t>
      </w:r>
    </w:p>
    <w:p w14:paraId="1048C357" w14:textId="77777777" w:rsidR="007F60DD" w:rsidRPr="007F60DD" w:rsidRDefault="007F60DD" w:rsidP="007F60DD">
      <w:r w:rsidRPr="007F60DD">
        <w:t xml:space="preserve">This </w:t>
      </w:r>
      <w:proofErr w:type="gramStart"/>
      <w:r w:rsidRPr="007F60DD">
        <w:t>dataset</w:t>
      </w:r>
      <w:proofErr w:type="gramEnd"/>
      <w:r w:rsidRPr="007F60DD">
        <w:t xml:space="preserve"> provides a consistent framework for analyzing forest health trends by ensuring compatibility across different plot sampling methodologies. By standardizing expansion factors, vigor codes, and species classifications, the dataset allows for robust cross-site and temporal comparisons. The processed outputs serve as a foundation for ecological modeling, forest management assessments, and long-term trend analyses in forest regeneration and mortality.</w:t>
      </w:r>
    </w:p>
    <w:p w14:paraId="4F8A00E8" w14:textId="77777777" w:rsidR="009F5675" w:rsidRDefault="009F5675"/>
    <w:sectPr w:rsidR="009F5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A3A98"/>
    <w:multiLevelType w:val="multilevel"/>
    <w:tmpl w:val="1302B7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E549D8"/>
    <w:multiLevelType w:val="multilevel"/>
    <w:tmpl w:val="2D64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E22088"/>
    <w:multiLevelType w:val="multilevel"/>
    <w:tmpl w:val="8DEC1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0039710">
    <w:abstractNumId w:val="1"/>
  </w:num>
  <w:num w:numId="2" w16cid:durableId="765883632">
    <w:abstractNumId w:val="0"/>
  </w:num>
  <w:num w:numId="3" w16cid:durableId="1558929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DD"/>
    <w:rsid w:val="00034B99"/>
    <w:rsid w:val="000536A6"/>
    <w:rsid w:val="0039799F"/>
    <w:rsid w:val="003E740F"/>
    <w:rsid w:val="007D6335"/>
    <w:rsid w:val="007F60DD"/>
    <w:rsid w:val="009F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8792E"/>
  <w15:chartTrackingRefBased/>
  <w15:docId w15:val="{DB9814BA-7E2F-467E-A9CB-1035F5AB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B99"/>
  </w:style>
  <w:style w:type="paragraph" w:styleId="Heading1">
    <w:name w:val="heading 1"/>
    <w:basedOn w:val="Normal"/>
    <w:next w:val="Normal"/>
    <w:link w:val="Heading1Char"/>
    <w:uiPriority w:val="9"/>
    <w:qFormat/>
    <w:rsid w:val="007F60DD"/>
    <w:pPr>
      <w:keepNext/>
      <w:keepLines/>
      <w:spacing w:before="360" w:after="80"/>
      <w:outlineLvl w:val="0"/>
    </w:pPr>
    <w:rPr>
      <w:rFonts w:asciiTheme="majorHAnsi" w:eastAsiaTheme="majorEastAsia" w:hAnsiTheme="majorHAnsi" w:cstheme="majorBidi"/>
      <w:color w:val="00614B" w:themeColor="accent1" w:themeShade="BF"/>
      <w:sz w:val="40"/>
      <w:szCs w:val="40"/>
    </w:rPr>
  </w:style>
  <w:style w:type="paragraph" w:styleId="Heading2">
    <w:name w:val="heading 2"/>
    <w:basedOn w:val="Normal"/>
    <w:next w:val="Normal"/>
    <w:link w:val="Heading2Char"/>
    <w:uiPriority w:val="9"/>
    <w:semiHidden/>
    <w:unhideWhenUsed/>
    <w:qFormat/>
    <w:rsid w:val="007F60DD"/>
    <w:pPr>
      <w:keepNext/>
      <w:keepLines/>
      <w:spacing w:before="160" w:after="80"/>
      <w:outlineLvl w:val="1"/>
    </w:pPr>
    <w:rPr>
      <w:rFonts w:asciiTheme="majorHAnsi" w:eastAsiaTheme="majorEastAsia" w:hAnsiTheme="majorHAnsi" w:cstheme="majorBidi"/>
      <w:color w:val="00614B" w:themeColor="accent1" w:themeShade="BF"/>
      <w:sz w:val="32"/>
      <w:szCs w:val="32"/>
    </w:rPr>
  </w:style>
  <w:style w:type="paragraph" w:styleId="Heading3">
    <w:name w:val="heading 3"/>
    <w:basedOn w:val="Normal"/>
    <w:next w:val="Normal"/>
    <w:link w:val="Heading3Char"/>
    <w:uiPriority w:val="9"/>
    <w:semiHidden/>
    <w:unhideWhenUsed/>
    <w:qFormat/>
    <w:rsid w:val="007F60DD"/>
    <w:pPr>
      <w:keepNext/>
      <w:keepLines/>
      <w:spacing w:before="160" w:after="80"/>
      <w:outlineLvl w:val="2"/>
    </w:pPr>
    <w:rPr>
      <w:rFonts w:eastAsiaTheme="majorEastAsia" w:cstheme="majorBidi"/>
      <w:color w:val="00614B" w:themeColor="accent1" w:themeShade="BF"/>
      <w:sz w:val="28"/>
      <w:szCs w:val="28"/>
    </w:rPr>
  </w:style>
  <w:style w:type="paragraph" w:styleId="Heading4">
    <w:name w:val="heading 4"/>
    <w:basedOn w:val="Normal"/>
    <w:next w:val="Normal"/>
    <w:link w:val="Heading4Char"/>
    <w:uiPriority w:val="9"/>
    <w:semiHidden/>
    <w:unhideWhenUsed/>
    <w:qFormat/>
    <w:rsid w:val="007F60DD"/>
    <w:pPr>
      <w:keepNext/>
      <w:keepLines/>
      <w:spacing w:before="80" w:after="40"/>
      <w:outlineLvl w:val="3"/>
    </w:pPr>
    <w:rPr>
      <w:rFonts w:eastAsiaTheme="majorEastAsia" w:cstheme="majorBidi"/>
      <w:i/>
      <w:iCs/>
      <w:color w:val="00614B" w:themeColor="accent1" w:themeShade="BF"/>
    </w:rPr>
  </w:style>
  <w:style w:type="paragraph" w:styleId="Heading5">
    <w:name w:val="heading 5"/>
    <w:basedOn w:val="Normal"/>
    <w:next w:val="Normal"/>
    <w:link w:val="Heading5Char"/>
    <w:uiPriority w:val="9"/>
    <w:semiHidden/>
    <w:unhideWhenUsed/>
    <w:qFormat/>
    <w:rsid w:val="007F60DD"/>
    <w:pPr>
      <w:keepNext/>
      <w:keepLines/>
      <w:spacing w:before="80" w:after="40"/>
      <w:outlineLvl w:val="4"/>
    </w:pPr>
    <w:rPr>
      <w:rFonts w:eastAsiaTheme="majorEastAsia" w:cstheme="majorBidi"/>
      <w:color w:val="00614B" w:themeColor="accent1" w:themeShade="BF"/>
    </w:rPr>
  </w:style>
  <w:style w:type="paragraph" w:styleId="Heading6">
    <w:name w:val="heading 6"/>
    <w:basedOn w:val="Normal"/>
    <w:next w:val="Normal"/>
    <w:link w:val="Heading6Char"/>
    <w:uiPriority w:val="9"/>
    <w:semiHidden/>
    <w:unhideWhenUsed/>
    <w:qFormat/>
    <w:rsid w:val="007F60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60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60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60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0DD"/>
    <w:rPr>
      <w:rFonts w:asciiTheme="majorHAnsi" w:eastAsiaTheme="majorEastAsia" w:hAnsiTheme="majorHAnsi" w:cstheme="majorBidi"/>
      <w:color w:val="00614B" w:themeColor="accent1" w:themeShade="BF"/>
      <w:sz w:val="40"/>
      <w:szCs w:val="40"/>
    </w:rPr>
  </w:style>
  <w:style w:type="character" w:customStyle="1" w:styleId="Heading2Char">
    <w:name w:val="Heading 2 Char"/>
    <w:basedOn w:val="DefaultParagraphFont"/>
    <w:link w:val="Heading2"/>
    <w:uiPriority w:val="9"/>
    <w:semiHidden/>
    <w:rsid w:val="007F60DD"/>
    <w:rPr>
      <w:rFonts w:asciiTheme="majorHAnsi" w:eastAsiaTheme="majorEastAsia" w:hAnsiTheme="majorHAnsi" w:cstheme="majorBidi"/>
      <w:color w:val="00614B" w:themeColor="accent1" w:themeShade="BF"/>
      <w:sz w:val="32"/>
      <w:szCs w:val="32"/>
    </w:rPr>
  </w:style>
  <w:style w:type="character" w:customStyle="1" w:styleId="Heading3Char">
    <w:name w:val="Heading 3 Char"/>
    <w:basedOn w:val="DefaultParagraphFont"/>
    <w:link w:val="Heading3"/>
    <w:uiPriority w:val="9"/>
    <w:semiHidden/>
    <w:rsid w:val="007F60DD"/>
    <w:rPr>
      <w:rFonts w:eastAsiaTheme="majorEastAsia" w:cstheme="majorBidi"/>
      <w:color w:val="00614B" w:themeColor="accent1" w:themeShade="BF"/>
      <w:sz w:val="28"/>
      <w:szCs w:val="28"/>
    </w:rPr>
  </w:style>
  <w:style w:type="character" w:customStyle="1" w:styleId="Heading4Char">
    <w:name w:val="Heading 4 Char"/>
    <w:basedOn w:val="DefaultParagraphFont"/>
    <w:link w:val="Heading4"/>
    <w:uiPriority w:val="9"/>
    <w:semiHidden/>
    <w:rsid w:val="007F60DD"/>
    <w:rPr>
      <w:rFonts w:eastAsiaTheme="majorEastAsia" w:cstheme="majorBidi"/>
      <w:i/>
      <w:iCs/>
      <w:color w:val="00614B" w:themeColor="accent1" w:themeShade="BF"/>
    </w:rPr>
  </w:style>
  <w:style w:type="character" w:customStyle="1" w:styleId="Heading5Char">
    <w:name w:val="Heading 5 Char"/>
    <w:basedOn w:val="DefaultParagraphFont"/>
    <w:link w:val="Heading5"/>
    <w:uiPriority w:val="9"/>
    <w:semiHidden/>
    <w:rsid w:val="007F60DD"/>
    <w:rPr>
      <w:rFonts w:eastAsiaTheme="majorEastAsia" w:cstheme="majorBidi"/>
      <w:color w:val="00614B" w:themeColor="accent1" w:themeShade="BF"/>
    </w:rPr>
  </w:style>
  <w:style w:type="character" w:customStyle="1" w:styleId="Heading6Char">
    <w:name w:val="Heading 6 Char"/>
    <w:basedOn w:val="DefaultParagraphFont"/>
    <w:link w:val="Heading6"/>
    <w:uiPriority w:val="9"/>
    <w:semiHidden/>
    <w:rsid w:val="007F60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60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60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60DD"/>
    <w:rPr>
      <w:rFonts w:eastAsiaTheme="majorEastAsia" w:cstheme="majorBidi"/>
      <w:color w:val="272727" w:themeColor="text1" w:themeTint="D8"/>
    </w:rPr>
  </w:style>
  <w:style w:type="paragraph" w:styleId="Title">
    <w:name w:val="Title"/>
    <w:basedOn w:val="Normal"/>
    <w:next w:val="Normal"/>
    <w:link w:val="TitleChar"/>
    <w:uiPriority w:val="10"/>
    <w:qFormat/>
    <w:rsid w:val="007F60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0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60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60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60DD"/>
    <w:pPr>
      <w:spacing w:before="160"/>
      <w:jc w:val="center"/>
    </w:pPr>
    <w:rPr>
      <w:i/>
      <w:iCs/>
      <w:color w:val="404040" w:themeColor="text1" w:themeTint="BF"/>
    </w:rPr>
  </w:style>
  <w:style w:type="character" w:customStyle="1" w:styleId="QuoteChar">
    <w:name w:val="Quote Char"/>
    <w:basedOn w:val="DefaultParagraphFont"/>
    <w:link w:val="Quote"/>
    <w:uiPriority w:val="29"/>
    <w:rsid w:val="007F60DD"/>
    <w:rPr>
      <w:i/>
      <w:iCs/>
      <w:color w:val="404040" w:themeColor="text1" w:themeTint="BF"/>
    </w:rPr>
  </w:style>
  <w:style w:type="paragraph" w:styleId="ListParagraph">
    <w:name w:val="List Paragraph"/>
    <w:basedOn w:val="Normal"/>
    <w:uiPriority w:val="34"/>
    <w:qFormat/>
    <w:rsid w:val="007F60DD"/>
    <w:pPr>
      <w:ind w:left="720"/>
      <w:contextualSpacing/>
    </w:pPr>
  </w:style>
  <w:style w:type="character" w:styleId="IntenseEmphasis">
    <w:name w:val="Intense Emphasis"/>
    <w:basedOn w:val="DefaultParagraphFont"/>
    <w:uiPriority w:val="21"/>
    <w:qFormat/>
    <w:rsid w:val="007F60DD"/>
    <w:rPr>
      <w:i/>
      <w:iCs/>
      <w:color w:val="00614B" w:themeColor="accent1" w:themeShade="BF"/>
    </w:rPr>
  </w:style>
  <w:style w:type="paragraph" w:styleId="IntenseQuote">
    <w:name w:val="Intense Quote"/>
    <w:basedOn w:val="Normal"/>
    <w:next w:val="Normal"/>
    <w:link w:val="IntenseQuoteChar"/>
    <w:uiPriority w:val="30"/>
    <w:qFormat/>
    <w:rsid w:val="007F60DD"/>
    <w:pPr>
      <w:pBdr>
        <w:top w:val="single" w:sz="4" w:space="10" w:color="00614B" w:themeColor="accent1" w:themeShade="BF"/>
        <w:bottom w:val="single" w:sz="4" w:space="10" w:color="00614B" w:themeColor="accent1" w:themeShade="BF"/>
      </w:pBdr>
      <w:spacing w:before="360" w:after="360"/>
      <w:ind w:left="864" w:right="864"/>
      <w:jc w:val="center"/>
    </w:pPr>
    <w:rPr>
      <w:i/>
      <w:iCs/>
      <w:color w:val="00614B" w:themeColor="accent1" w:themeShade="BF"/>
    </w:rPr>
  </w:style>
  <w:style w:type="character" w:customStyle="1" w:styleId="IntenseQuoteChar">
    <w:name w:val="Intense Quote Char"/>
    <w:basedOn w:val="DefaultParagraphFont"/>
    <w:link w:val="IntenseQuote"/>
    <w:uiPriority w:val="30"/>
    <w:rsid w:val="007F60DD"/>
    <w:rPr>
      <w:i/>
      <w:iCs/>
      <w:color w:val="00614B" w:themeColor="accent1" w:themeShade="BF"/>
    </w:rPr>
  </w:style>
  <w:style w:type="character" w:styleId="IntenseReference">
    <w:name w:val="Intense Reference"/>
    <w:basedOn w:val="DefaultParagraphFont"/>
    <w:uiPriority w:val="32"/>
    <w:qFormat/>
    <w:rsid w:val="007F60DD"/>
    <w:rPr>
      <w:b/>
      <w:bCs/>
      <w:smallCaps/>
      <w:color w:val="00614B"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427878">
      <w:bodyDiv w:val="1"/>
      <w:marLeft w:val="0"/>
      <w:marRight w:val="0"/>
      <w:marTop w:val="0"/>
      <w:marBottom w:val="0"/>
      <w:divBdr>
        <w:top w:val="none" w:sz="0" w:space="0" w:color="auto"/>
        <w:left w:val="none" w:sz="0" w:space="0" w:color="auto"/>
        <w:bottom w:val="none" w:sz="0" w:space="0" w:color="auto"/>
        <w:right w:val="none" w:sz="0" w:space="0" w:color="auto"/>
      </w:divBdr>
    </w:div>
    <w:div w:id="152463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FEMC_general">
  <a:themeElements>
    <a:clrScheme name="FEMC">
      <a:dk1>
        <a:srgbClr val="000000"/>
      </a:dk1>
      <a:lt1>
        <a:srgbClr val="FFFFFF"/>
      </a:lt1>
      <a:dk2>
        <a:srgbClr val="44546A"/>
      </a:dk2>
      <a:lt2>
        <a:srgbClr val="E7E6E6"/>
      </a:lt2>
      <a:accent1>
        <a:srgbClr val="008265"/>
      </a:accent1>
      <a:accent2>
        <a:srgbClr val="B8D879"/>
      </a:accent2>
      <a:accent3>
        <a:srgbClr val="F3F9EB"/>
      </a:accent3>
      <a:accent4>
        <a:srgbClr val="73C1C1"/>
      </a:accent4>
      <a:accent5>
        <a:srgbClr val="D0F388"/>
      </a:accent5>
      <a:accent6>
        <a:srgbClr val="ABDADA"/>
      </a:accent6>
      <a:hlink>
        <a:srgbClr val="0373E2"/>
      </a:hlink>
      <a:folHlink>
        <a:srgbClr val="EC781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MC_general" id="{7C50A5C9-EBF0-4A40-BBC1-444C282CD05F}" vid="{943F0CE0-3DC7-F347-83B3-09881DC6C606}"/>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Soren Donisvitch</dc:creator>
  <cp:keywords/>
  <dc:description/>
  <cp:lastModifiedBy>Soren Donisvitch</cp:lastModifiedBy>
  <cp:revision>1</cp:revision>
  <dcterms:created xsi:type="dcterms:W3CDTF">2025-02-14T18:02:00Z</dcterms:created>
  <dcterms:modified xsi:type="dcterms:W3CDTF">2025-02-14T18:04:00Z</dcterms:modified>
</cp:coreProperties>
</file>